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ПРОГРАММНЫЙ КОМПЛЕКС УПРАВЛЕНИЯ И МОНИТОРИНГА РАСПРЕДЕЛЕННЫХ ОБЪЕКТОВ С КООРДИНАЦИЕЙ МОБИЛЬНЫХ ГРУПП «ПЕГАС»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ЛИЦЕНЗИОННОЕ СОГЛАШЕНИЕ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https://arm-pegas.ru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https://user.arm-pegas.ru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https://arm-pegas.ru/docs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Предмет соглашения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Права на программный продукт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Объем предоставляемых прав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Ограничения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Обновления и новые версии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Техническая поддержка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Ответственность сторон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Срок действия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Заключительные положения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Предмет соглашения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Настоящее лицензионное соглашение регулирует порядок использования программного продукта «ПЕГАС», предоставляемого через WEB-интерфейс и предназначенного для диспетчеризации распределенных объектов, управления заявками, маршрутами и мобильными группами.</w:t>
      </w:r>
    </w:p>
    <w:p>
      <w:pPr>
        <w:pStyle w:val="Heading1"/>
      </w:pPr>
      <w:r>
        <w:rPr>
          <w:rFonts w:ascii="Arial" w:hAnsi="Arial" w:eastAsia="Arial"/>
          <w:sz w:val="22"/>
        </w:rPr>
        <w:t>2. Права на программный продукт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Исключительные права на программный продукт принадлежат правообладателю: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Пользователь получает право использования продукта только в пределах, установленных настоящим соглашением и предоставленным доступом.</w:t>
      </w:r>
    </w:p>
    <w:p>
      <w:pPr>
        <w:pStyle w:val="Heading1"/>
      </w:pPr>
      <w:r>
        <w:rPr>
          <w:rFonts w:ascii="Arial" w:hAnsi="Arial" w:eastAsia="Arial"/>
          <w:sz w:val="22"/>
        </w:rPr>
        <w:t>3. Объем предоставляемых прав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Пользователю предоставляется неисключительное право доступа к функциональности программного продукта через браузер. Передача исходного кода, отчуждение исключительных прав, распространение копий программного продукта и самостоятельная модификация не входят в объем предоставляемых прав.</w:t>
      </w:r>
    </w:p>
    <w:p>
      <w:pPr>
        <w:pStyle w:val="Heading1"/>
      </w:pPr>
      <w:r>
        <w:rPr>
          <w:rFonts w:ascii="Arial" w:hAnsi="Arial" w:eastAsia="Arial"/>
          <w:sz w:val="22"/>
        </w:rPr>
        <w:t>4. Ограничения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копировать, декомпилировать, модифицировать и распространять программный продукт без согласия правообладателя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использовать доступ для нарушения работы серверной инфраструктуры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обходить механизмы авторизации и разграничения доступа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размещать незаконную или недостоверную информацию в экземпляре программного продукта</w:t>
      </w:r>
    </w:p>
    <w:p>
      <w:pPr>
        <w:pStyle w:val="Heading1"/>
      </w:pPr>
      <w:r>
        <w:rPr>
          <w:rFonts w:ascii="Arial" w:hAnsi="Arial" w:eastAsia="Arial"/>
          <w:sz w:val="22"/>
        </w:rPr>
        <w:t>5. Обновления и новые версии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Правообладатель вправе выпускать обновления, исправления и новые версии программного продукта. Обновления могут изменять интерфейс, состав функций, внутреннюю архитектуру, структуру данных и документацию при сохранении общего назначения продукта.</w:t>
      </w:r>
    </w:p>
    <w:p>
      <w:pPr>
        <w:pStyle w:val="Heading1"/>
      </w:pPr>
      <w:r>
        <w:rPr>
          <w:rFonts w:ascii="Arial" w:hAnsi="Arial" w:eastAsia="Arial"/>
          <w:sz w:val="22"/>
        </w:rPr>
        <w:t>6. Техническая поддержка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Техническая поддержка включает обработку обращений, консультации по доступу, устранение неисправностей, выпуск обновлений и поддержание документации. Порядок сопровождения определяется правообладателем.</w:t>
      </w:r>
    </w:p>
    <w:p>
      <w:pPr>
        <w:pStyle w:val="Heading1"/>
      </w:pPr>
      <w:r>
        <w:rPr>
          <w:rFonts w:ascii="Arial" w:hAnsi="Arial" w:eastAsia="Arial"/>
          <w:sz w:val="22"/>
        </w:rPr>
        <w:t>7. Ответственность сторон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Пользователь отвечает за сохранность учетных данных и корректность вводимой информации. Правообладатель отвечает за сопровождение программного продукта в пределах доступных технических и организационных мер.</w:t>
      </w:r>
    </w:p>
    <w:p>
      <w:pPr>
        <w:pStyle w:val="Heading1"/>
      </w:pPr>
      <w:r>
        <w:rPr>
          <w:rFonts w:ascii="Arial" w:hAnsi="Arial" w:eastAsia="Arial"/>
          <w:sz w:val="22"/>
        </w:rPr>
        <w:t>8. Срок действия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Соглашение действует с момента предоставления пользователю доступа к программному продукту и сохраняет силу на период такого доступа, если иное не установлено отдельными документами или договоренностями сторон.</w:t>
      </w:r>
    </w:p>
    <w:p>
      <w:pPr>
        <w:pStyle w:val="Heading1"/>
      </w:pPr>
      <w:r>
        <w:rPr>
          <w:rFonts w:ascii="Arial" w:hAnsi="Arial" w:eastAsia="Arial"/>
          <w:sz w:val="22"/>
        </w:rPr>
        <w:t>9. Заключительные положения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Использование программного продукта означает согласие пользователя с условиями настоящего соглашения. Все вопросы, не урегулированные соглашением, решаются в соответствии с применимым законодательством и документами правообладателя.</w:t>
      </w: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«ПЕГАС».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«ПЕГАС»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